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4"/>
        <w:numPr>
          <w:ilvl w:val="3"/>
          <w:numId w:val="2"/>
        </w:numPr>
        <w:bidi w:val="0"/>
        <w:spacing w:before="200" w:after="120"/>
        <w:jc w:val="left"/>
        <w:rPr/>
      </w:pPr>
      <w:r>
        <w:rPr/>
        <w:t xml:space="preserve">Задание </w:t>
      </w:r>
      <w:r>
        <w:rPr>
          <w:rFonts w:eastAsia="NSimSun" w:cs="Lucida Sans"/>
          <w:b/>
          <w:bCs/>
          <w:color w:val="auto"/>
          <w:kern w:val="2"/>
          <w:sz w:val="24"/>
          <w:szCs w:val="24"/>
          <w:lang w:val="ru-RU" w:eastAsia="zh-CN" w:bidi="hi-IN"/>
        </w:rPr>
        <w:t>3</w:t>
      </w:r>
    </w:p>
    <w:p>
      <w:pPr>
        <w:pStyle w:val="4"/>
        <w:numPr>
          <w:ilvl w:val="3"/>
          <w:numId w:val="2"/>
        </w:numPr>
        <w:bidi w:val="0"/>
        <w:spacing w:before="200" w:after="120"/>
        <w:jc w:val="left"/>
        <w:rPr/>
      </w:pPr>
      <w:r>
        <w:rPr/>
      </w:r>
    </w:p>
    <w:p>
      <w:pPr>
        <w:pStyle w:val="6"/>
        <w:numPr>
          <w:ilvl w:val="0"/>
          <w:numId w:val="0"/>
        </w:numPr>
        <w:tabs>
          <w:tab w:val="clear" w:pos="709"/>
          <w:tab w:val="left" w:pos="0" w:leader="none"/>
        </w:tabs>
        <w:ind w:left="4242" w:hanging="0"/>
        <w:rPr/>
      </w:pPr>
      <w:r>
        <w:rPr>
          <w:sz w:val="28"/>
          <w:szCs w:val="28"/>
        </w:rPr>
        <w:t>Этап 3. Выявление заинтересованных лиц и пользователей</w:t>
      </w:r>
    </w:p>
    <w:p>
      <w:pPr>
        <w:sectPr>
          <w:type w:val="nextPage"/>
          <w:pgSz w:w="11906" w:h="16838"/>
          <w:pgMar w:left="1134" w:right="1134" w:header="0" w:top="1134" w:footer="0" w:bottom="1134" w:gutter="0"/>
          <w:pgNumType w:fmt="decimal"/>
          <w:formProt w:val="false"/>
          <w:textDirection w:val="lrTb"/>
          <w:docGrid w:type="default" w:linePitch="100" w:charSpace="0"/>
        </w:sectPr>
      </w:pPr>
    </w:p>
    <w:p>
      <w:pPr>
        <w:pStyle w:val="Style15"/>
        <w:rPr/>
      </w:pPr>
      <w:r>
        <w:rPr>
          <w:rStyle w:val="Style9"/>
        </w:rPr>
        <w:t>Заинтересованные лица</w:t>
      </w:r>
      <w:r>
        <w:rPr/>
        <w:t xml:space="preserve"> – это прямые и непрямые пользователи, которых затрагивает реализация новой системы или приложения.</w:t>
      </w:r>
    </w:p>
    <w:p>
      <w:pPr>
        <w:pStyle w:val="Style15"/>
        <w:rPr/>
      </w:pPr>
      <w:r>
        <w:rPr/>
        <w:t>Непрямые пользователи - клиенты, надзорные организации, лица, осуществляющие сопрождение и экплуатацию системы.</w:t>
      </w:r>
    </w:p>
    <w:p>
      <w:pPr>
        <w:pStyle w:val="6"/>
        <w:rPr>
          <w:sz w:val="28"/>
          <w:szCs w:val="28"/>
        </w:rPr>
      </w:pPr>
      <w:bookmarkStart w:id="0" w:name="yui_3_17_2_1_1643026591104_38"/>
      <w:bookmarkEnd w:id="0"/>
      <w:r>
        <w:rPr>
          <w:sz w:val="28"/>
          <w:szCs w:val="28"/>
        </w:rPr>
        <w:t>Этап 4. Определение границ системы-решения</w:t>
      </w:r>
    </w:p>
    <w:p>
      <w:pPr>
        <w:pStyle w:val="Style15"/>
        <w:rPr/>
      </w:pPr>
      <w:r>
        <w:rPr/>
        <w:t>Делим мир на две части – наша система и то, что взаимодействует с нашей системой.</w:t>
      </w:r>
    </w:p>
    <w:p>
      <w:pPr>
        <w:pStyle w:val="Style15"/>
        <w:rPr/>
      </w:pPr>
      <w:r>
        <w:rPr/>
        <w:t>Актант (актор) – это находящееся вне системы нечто (или некто), взаимодействующее с системой.</w:t>
      </w:r>
    </w:p>
    <w:p>
      <w:pPr>
        <w:pStyle w:val="6"/>
        <w:rPr>
          <w:sz w:val="28"/>
          <w:szCs w:val="28"/>
        </w:rPr>
      </w:pPr>
      <w:r>
        <w:rPr>
          <w:sz w:val="28"/>
          <w:szCs w:val="28"/>
        </w:rPr>
        <w:t>Этап 5. Выявление ограничений, налагаемых на решение</w:t>
      </w:r>
    </w:p>
    <w:p>
      <w:pPr>
        <w:pStyle w:val="Style15"/>
        <w:rPr/>
      </w:pPr>
      <w:r>
        <w:rPr/>
        <w:t>Ограничения уменьшают степень свободы, которой мы располагаем при предложении решения.</w:t>
      </w:r>
    </w:p>
    <w:p>
      <w:pPr>
        <w:pStyle w:val="Style15"/>
        <w:rPr/>
      </w:pPr>
      <w:r>
        <w:rPr/>
        <w:t>Некоторые из обнаруженных ограничений могут стать требованиями к системе.</w:t>
      </w:r>
    </w:p>
    <w:p>
      <w:pPr>
        <w:pStyle w:val="Style15"/>
        <w:rPr/>
      </w:pPr>
      <w:r>
        <w:rPr/>
        <w:t>Возможные источники: экономические, политические, технические, системные, эксплуатационные, на разработку.</w:t>
      </w:r>
    </w:p>
    <w:p>
      <w:pPr>
        <w:pStyle w:val="Style15"/>
        <w:rPr/>
      </w:pPr>
      <w:r>
        <w:rPr>
          <w:rStyle w:val="Style13"/>
        </w:rPr>
        <w:t>Задание</w:t>
      </w:r>
    </w:p>
    <w:p>
      <w:pPr>
        <w:pStyle w:val="Style15"/>
        <w:rPr/>
      </w:pPr>
      <w:r>
        <w:rPr/>
        <w:t>Нарисовать диаграмму вариантов использования и дать описание одного из вариантов использования</w:t>
      </w:r>
    </w:p>
    <w:p>
      <w:pPr>
        <w:pStyle w:val="5"/>
        <w:rPr/>
      </w:pPr>
      <w:r>
        <w:rPr/>
        <w:t>Диаграмма вариантов использования</w:t>
      </w:r>
    </w:p>
    <w:p>
      <w:pPr>
        <w:pStyle w:val="Style15"/>
        <w:rPr/>
      </w:pPr>
      <w:r>
        <w:rPr/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4945380" cy="3712210"/>
            <wp:effectExtent l="0" t="0" r="0" b="0"/>
            <wp:wrapTopAndBottom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5380" cy="37122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Style15"/>
        <w:rPr/>
      </w:pPr>
      <w:r>
        <w:rPr>
          <w:rStyle w:val="Style9"/>
          <w:sz w:val="21"/>
          <w:szCs w:val="21"/>
          <w:lang w:val="ru-RU"/>
        </w:rPr>
        <w:t xml:space="preserve">Примечание идентификатор используется для трассировки, чтобы не писать полное имя, идентификатор содержит тип и номер: </w:t>
      </w:r>
      <w:r>
        <w:rPr>
          <w:rStyle w:val="Style9"/>
          <w:sz w:val="21"/>
          <w:szCs w:val="21"/>
          <w:lang w:val="en-US"/>
        </w:rPr>
        <w:t>UC (</w:t>
      </w:r>
      <w:r>
        <w:rPr>
          <w:rStyle w:val="Style9"/>
          <w:sz w:val="21"/>
          <w:szCs w:val="21"/>
          <w:lang w:val="en-GB"/>
        </w:rPr>
        <w:t>user case), В</w:t>
      </w:r>
      <w:r>
        <w:rPr>
          <w:rStyle w:val="Style9"/>
          <w:sz w:val="21"/>
          <w:szCs w:val="21"/>
          <w:lang w:val="ru-RU"/>
        </w:rPr>
        <w:t xml:space="preserve">И (вариант использования). Номер может простым или составным (номер диаграммы.номер ВИ). Примеры </w:t>
      </w:r>
      <w:r>
        <w:rPr>
          <w:rStyle w:val="Style9"/>
          <w:sz w:val="21"/>
          <w:szCs w:val="21"/>
          <w:lang w:val="en-US"/>
        </w:rPr>
        <w:t>UC-4, В</w:t>
      </w:r>
      <w:r>
        <w:rPr>
          <w:rStyle w:val="Style9"/>
          <w:sz w:val="21"/>
          <w:szCs w:val="21"/>
          <w:lang w:val="ru-RU"/>
        </w:rPr>
        <w:t>И-2.5</w:t>
      </w:r>
    </w:p>
    <w:p>
      <w:pPr>
        <w:pStyle w:val="Style15"/>
        <w:rPr/>
      </w:pPr>
      <w:r>
        <w:rPr>
          <w:rStyle w:val="Style9"/>
        </w:rPr>
        <w:t>Идентификатор и название</w:t>
      </w:r>
      <w:r>
        <w:rPr/>
        <w:t>: UC-4 Заказать химикат</w:t>
      </w:r>
    </w:p>
    <w:p>
      <w:pPr>
        <w:pStyle w:val="Style15"/>
        <w:rPr/>
      </w:pPr>
      <w:r>
        <w:rPr>
          <w:rStyle w:val="Style9"/>
        </w:rPr>
        <w:t>Автор</w:t>
      </w:r>
      <w:r>
        <w:rPr/>
        <w:t>: Лори</w:t>
      </w:r>
    </w:p>
    <w:p>
      <w:pPr>
        <w:pStyle w:val="Style15"/>
        <w:rPr/>
      </w:pPr>
      <w:r>
        <w:rPr>
          <w:rStyle w:val="Style9"/>
        </w:rPr>
        <w:t>Дата создания</w:t>
      </w:r>
      <w:r>
        <w:rPr/>
        <w:t>: 22.08.13</w:t>
      </w:r>
    </w:p>
    <w:p>
      <w:pPr>
        <w:pStyle w:val="Style15"/>
        <w:rPr/>
      </w:pPr>
      <w:r>
        <w:rPr>
          <w:rStyle w:val="Style9"/>
        </w:rPr>
        <w:t>Основное действующее лицо</w:t>
      </w:r>
      <w:r>
        <w:rPr/>
        <w:t>: Сотрудник, разместивший заказ на химикат</w:t>
      </w:r>
    </w:p>
    <w:p>
      <w:pPr>
        <w:pStyle w:val="Style15"/>
        <w:rPr/>
      </w:pPr>
      <w:r>
        <w:rPr>
          <w:rStyle w:val="Style9"/>
        </w:rPr>
        <w:t>Дополнительное действующее лицо</w:t>
      </w:r>
      <w:r>
        <w:rPr/>
        <w:t>: Поставщик; Склад химикатов; База данных по обучению</w:t>
      </w:r>
    </w:p>
    <w:p>
      <w:pPr>
        <w:pStyle w:val="Style15"/>
        <w:rPr/>
      </w:pPr>
      <w:r>
        <w:rPr>
          <w:rStyle w:val="Style9"/>
        </w:rPr>
        <w:t>Описание</w:t>
      </w:r>
      <w:r>
        <w:rPr/>
        <w:t>: Сотрудник, разместивший заказ на химикат, указывает в запросе необходимый химикат, вводя его название или идентификатор или импортируя его структуру из соответствующего графического средства. Система выполняет запрос, предлагая контейнер с химикатом со склада или позволяя создать запрос на заказ у поставщика.</w:t>
      </w:r>
    </w:p>
    <w:p>
      <w:pPr>
        <w:pStyle w:val="Style15"/>
        <w:rPr/>
      </w:pPr>
      <w:r>
        <w:rPr>
          <w:rStyle w:val="Style9"/>
        </w:rPr>
        <w:t>Триггер</w:t>
      </w:r>
      <w:r>
        <w:rPr/>
        <w:t>: Сотрудник указывает, что хочет заказать химикат.</w:t>
      </w:r>
    </w:p>
    <w:p>
      <w:pPr>
        <w:pStyle w:val="Style15"/>
        <w:rPr/>
      </w:pPr>
      <w:r>
        <w:rPr>
          <w:rStyle w:val="Style9"/>
        </w:rPr>
        <w:t>Предварительные условия</w:t>
      </w:r>
      <w:r>
        <w:rPr/>
        <w:t>:</w:t>
      </w:r>
    </w:p>
    <w:p>
      <w:pPr>
        <w:pStyle w:val="Style15"/>
        <w:rPr/>
      </w:pPr>
      <w:r>
        <w:rPr/>
        <w:t>PRE-1. Личность пользователя аутентифицирована.</w:t>
      </w:r>
    </w:p>
    <w:p>
      <w:pPr>
        <w:pStyle w:val="Style15"/>
        <w:rPr/>
      </w:pPr>
      <w:r>
        <w:rPr/>
        <w:t>PRE-2. Пользователь имеет право запрашивать химикаты.</w:t>
      </w:r>
    </w:p>
    <w:p>
      <w:pPr>
        <w:pStyle w:val="Style15"/>
        <w:rPr/>
      </w:pPr>
      <w:r>
        <w:rPr/>
        <w:t>PRE-3. База данных по запасам химикатов в данный момент доступна.</w:t>
      </w:r>
    </w:p>
    <w:p>
      <w:pPr>
        <w:pStyle w:val="Style15"/>
        <w:rPr/>
      </w:pPr>
      <w:r>
        <w:rPr>
          <w:rStyle w:val="Style9"/>
        </w:rPr>
        <w:t>Выходные условия</w:t>
      </w:r>
      <w:r>
        <w:rPr/>
        <w:t>:</w:t>
      </w:r>
    </w:p>
    <w:p>
      <w:pPr>
        <w:pStyle w:val="Style15"/>
        <w:rPr/>
      </w:pPr>
      <w:r>
        <w:rPr/>
        <w:t>POST-1. Запрос сохраняется в Chemical Tracking System.</w:t>
      </w:r>
    </w:p>
    <w:p>
      <w:pPr>
        <w:pStyle w:val="Style15"/>
        <w:rPr/>
      </w:pPr>
      <w:r>
        <w:rPr/>
        <w:t>POST-2. Запрос отправлен на склад химикатов или поставщику.</w:t>
      </w:r>
    </w:p>
    <w:p>
      <w:pPr>
        <w:pStyle w:val="Style15"/>
        <w:rPr/>
      </w:pPr>
      <w:r>
        <w:rPr>
          <w:rStyle w:val="Style9"/>
        </w:rPr>
        <w:t>Нормальное направление развития варианта использования</w:t>
      </w:r>
      <w:r>
        <w:rPr/>
        <w:t>:</w:t>
      </w:r>
    </w:p>
    <w:p>
      <w:pPr>
        <w:pStyle w:val="Style15"/>
        <w:rPr/>
      </w:pPr>
      <w:r>
        <w:rPr/>
        <w:t>4.0 Запросить химикат со склада</w:t>
      </w:r>
    </w:p>
    <w:p>
      <w:pPr>
        <w:pStyle w:val="Style15"/>
        <w:numPr>
          <w:ilvl w:val="0"/>
          <w:numId w:val="4"/>
        </w:numPr>
        <w:tabs>
          <w:tab w:val="clear" w:pos="709"/>
          <w:tab w:val="left" w:pos="0" w:leader="none"/>
        </w:tabs>
        <w:spacing w:before="0" w:after="0"/>
        <w:ind w:left="707" w:hanging="283"/>
        <w:rPr/>
      </w:pPr>
      <w:r>
        <w:rPr/>
        <w:t xml:space="preserve">Сотрудник указывает требуемый химикат. </w:t>
      </w:r>
    </w:p>
    <w:p>
      <w:pPr>
        <w:pStyle w:val="Style15"/>
        <w:numPr>
          <w:ilvl w:val="0"/>
          <w:numId w:val="4"/>
        </w:numPr>
        <w:tabs>
          <w:tab w:val="clear" w:pos="709"/>
          <w:tab w:val="left" w:pos="0" w:leader="none"/>
        </w:tabs>
        <w:spacing w:before="0" w:after="0"/>
        <w:ind w:left="707" w:hanging="283"/>
        <w:rPr/>
      </w:pPr>
      <w:r>
        <w:rPr/>
        <w:t xml:space="preserve">Система перечисляет контейнеры с необходимым химикатом, имеющиеся на складе. </w:t>
      </w:r>
    </w:p>
    <w:p>
      <w:pPr>
        <w:pStyle w:val="Style15"/>
        <w:numPr>
          <w:ilvl w:val="0"/>
          <w:numId w:val="4"/>
        </w:numPr>
        <w:tabs>
          <w:tab w:val="clear" w:pos="709"/>
          <w:tab w:val="left" w:pos="0" w:leader="none"/>
        </w:tabs>
        <w:spacing w:before="0" w:after="0"/>
        <w:ind w:left="707" w:hanging="283"/>
        <w:rPr/>
      </w:pPr>
      <w:r>
        <w:rPr/>
        <w:t xml:space="preserve">Сотрудник может просмотреть историю любого контейнера. </w:t>
      </w:r>
    </w:p>
    <w:p>
      <w:pPr>
        <w:pStyle w:val="Style15"/>
        <w:numPr>
          <w:ilvl w:val="0"/>
          <w:numId w:val="4"/>
        </w:numPr>
        <w:tabs>
          <w:tab w:val="clear" w:pos="709"/>
          <w:tab w:val="left" w:pos="0" w:leader="none"/>
        </w:tabs>
        <w:spacing w:before="0" w:after="0"/>
        <w:ind w:left="707" w:hanging="283"/>
        <w:rPr/>
      </w:pPr>
      <w:r>
        <w:rPr/>
        <w:t xml:space="preserve">Сотрудник выбирает определенный контейнер или просит отправить запрос поставщику (см. 4.1). </w:t>
      </w:r>
    </w:p>
    <w:p>
      <w:pPr>
        <w:pStyle w:val="Style15"/>
        <w:numPr>
          <w:ilvl w:val="0"/>
          <w:numId w:val="4"/>
        </w:numPr>
        <w:tabs>
          <w:tab w:val="clear" w:pos="709"/>
          <w:tab w:val="left" w:pos="0" w:leader="none"/>
        </w:tabs>
        <w:spacing w:before="0" w:after="0"/>
        <w:ind w:left="707" w:hanging="283"/>
        <w:rPr/>
      </w:pPr>
      <w:r>
        <w:rPr/>
        <w:t xml:space="preserve">Сотрудник вводит остальную информацию, чтобы завершить запрос. </w:t>
      </w:r>
    </w:p>
    <w:p>
      <w:pPr>
        <w:pStyle w:val="Style15"/>
        <w:numPr>
          <w:ilvl w:val="0"/>
          <w:numId w:val="4"/>
        </w:numPr>
        <w:tabs>
          <w:tab w:val="clear" w:pos="709"/>
          <w:tab w:val="left" w:pos="0" w:leader="none"/>
        </w:tabs>
        <w:ind w:left="707" w:hanging="283"/>
        <w:rPr/>
      </w:pPr>
      <w:r>
        <w:rPr/>
        <w:t xml:space="preserve">Система сохраняет запрос и отправляет его на склад химикатов. </w:t>
      </w:r>
    </w:p>
    <w:p>
      <w:pPr>
        <w:pStyle w:val="Style15"/>
        <w:rPr/>
      </w:pPr>
      <w:r>
        <w:rPr>
          <w:rStyle w:val="Style9"/>
        </w:rPr>
        <w:t>Альтернативное направление развития варианта использования</w:t>
      </w:r>
      <w:r>
        <w:rPr/>
        <w:t>:</w:t>
      </w:r>
    </w:p>
    <w:p>
      <w:pPr>
        <w:pStyle w:val="Style15"/>
        <w:rPr/>
      </w:pPr>
      <w:r>
        <w:rPr/>
        <w:t>4.1 Запросить химикат у поставщика</w:t>
      </w:r>
    </w:p>
    <w:p>
      <w:pPr>
        <w:pStyle w:val="Style15"/>
        <w:numPr>
          <w:ilvl w:val="0"/>
          <w:numId w:val="5"/>
        </w:numPr>
        <w:tabs>
          <w:tab w:val="clear" w:pos="709"/>
          <w:tab w:val="left" w:pos="0" w:leader="none"/>
        </w:tabs>
        <w:spacing w:before="0" w:after="0"/>
        <w:ind w:left="707" w:hanging="283"/>
        <w:rPr/>
      </w:pPr>
      <w:r>
        <w:rPr/>
        <w:t xml:space="preserve">Сотрудник ищет химикат по каталогам поставщика (см. 4.1.E1). </w:t>
      </w:r>
    </w:p>
    <w:p>
      <w:pPr>
        <w:pStyle w:val="Style15"/>
        <w:numPr>
          <w:ilvl w:val="0"/>
          <w:numId w:val="5"/>
        </w:numPr>
        <w:tabs>
          <w:tab w:val="clear" w:pos="709"/>
          <w:tab w:val="left" w:pos="0" w:leader="none"/>
        </w:tabs>
        <w:spacing w:before="0" w:after="0"/>
        <w:ind w:left="707" w:hanging="283"/>
        <w:rPr/>
      </w:pPr>
      <w:r>
        <w:rPr/>
        <w:t xml:space="preserve">Система отображает список поставщиков, где также указаны размеры, класс и цена контейнеров. </w:t>
      </w:r>
    </w:p>
    <w:p>
      <w:pPr>
        <w:pStyle w:val="Style15"/>
        <w:numPr>
          <w:ilvl w:val="0"/>
          <w:numId w:val="5"/>
        </w:numPr>
        <w:tabs>
          <w:tab w:val="clear" w:pos="709"/>
          <w:tab w:val="left" w:pos="0" w:leader="none"/>
        </w:tabs>
        <w:spacing w:before="0" w:after="0"/>
        <w:ind w:left="707" w:hanging="283"/>
        <w:rPr/>
      </w:pPr>
      <w:r>
        <w:rPr/>
        <w:t xml:space="preserve">Сотрудник выбирает поставщика, размер, класс и количество контейнеров. </w:t>
      </w:r>
    </w:p>
    <w:p>
      <w:pPr>
        <w:pStyle w:val="Style15"/>
        <w:numPr>
          <w:ilvl w:val="0"/>
          <w:numId w:val="5"/>
        </w:numPr>
        <w:tabs>
          <w:tab w:val="clear" w:pos="709"/>
          <w:tab w:val="left" w:pos="0" w:leader="none"/>
        </w:tabs>
        <w:spacing w:before="0" w:after="0"/>
        <w:ind w:left="707" w:hanging="283"/>
        <w:rPr/>
      </w:pPr>
      <w:r>
        <w:rPr/>
        <w:t xml:space="preserve">Сотрудник вводит остальную информацию, необходимую для запроса. </w:t>
      </w:r>
    </w:p>
    <w:p>
      <w:pPr>
        <w:pStyle w:val="Style15"/>
        <w:numPr>
          <w:ilvl w:val="0"/>
          <w:numId w:val="5"/>
        </w:numPr>
        <w:tabs>
          <w:tab w:val="clear" w:pos="709"/>
          <w:tab w:val="left" w:pos="0" w:leader="none"/>
        </w:tabs>
        <w:ind w:left="707" w:hanging="283"/>
        <w:rPr/>
      </w:pPr>
      <w:r>
        <w:rPr/>
        <w:t xml:space="preserve">Система сохраняет запрос и перенаправляет его поставщику. </w:t>
      </w:r>
    </w:p>
    <w:p>
      <w:pPr>
        <w:pStyle w:val="Style15"/>
        <w:rPr/>
      </w:pPr>
      <w:r>
        <w:rPr>
          <w:rStyle w:val="Style9"/>
        </w:rPr>
        <w:t>Исключения</w:t>
      </w:r>
      <w:r>
        <w:rPr/>
        <w:t>:</w:t>
      </w:r>
    </w:p>
    <w:p>
      <w:pPr>
        <w:pStyle w:val="Style15"/>
        <w:rPr/>
      </w:pPr>
      <w:r>
        <w:rPr/>
        <w:t>4.1.E1. Химиката нет в продаже</w:t>
      </w:r>
    </w:p>
    <w:p>
      <w:pPr>
        <w:pStyle w:val="Style15"/>
        <w:numPr>
          <w:ilvl w:val="0"/>
          <w:numId w:val="6"/>
        </w:numPr>
        <w:tabs>
          <w:tab w:val="clear" w:pos="709"/>
          <w:tab w:val="left" w:pos="0" w:leader="none"/>
        </w:tabs>
        <w:spacing w:before="0" w:after="0"/>
        <w:ind w:left="707" w:hanging="283"/>
        <w:rPr/>
      </w:pPr>
      <w:r>
        <w:rPr/>
        <w:t xml:space="preserve">Система отображает сообщение «У поставщиков нет такого химиката». </w:t>
      </w:r>
    </w:p>
    <w:p>
      <w:pPr>
        <w:pStyle w:val="Style15"/>
        <w:numPr>
          <w:ilvl w:val="0"/>
          <w:numId w:val="6"/>
        </w:numPr>
        <w:tabs>
          <w:tab w:val="clear" w:pos="709"/>
          <w:tab w:val="left" w:pos="0" w:leader="none"/>
        </w:tabs>
        <w:ind w:left="707" w:hanging="283"/>
        <w:rPr/>
      </w:pPr>
      <w:r>
        <w:rPr/>
        <w:t xml:space="preserve">Система предлагает сотруднику запросить другой химикат или выйти из программы. </w:t>
      </w:r>
    </w:p>
    <w:p>
      <w:pPr>
        <w:pStyle w:val="Style15"/>
        <w:rPr/>
      </w:pPr>
      <w:r>
        <w:rPr/>
        <w:t>3а. Сотрудник просит запросить другой химикат.</w:t>
      </w:r>
    </w:p>
    <w:p>
      <w:pPr>
        <w:pStyle w:val="Style15"/>
        <w:rPr/>
      </w:pPr>
      <w:r>
        <w:rPr/>
        <w:t>4а. Система заново начинает нормальное направление варианта использования.</w:t>
      </w:r>
    </w:p>
    <w:p>
      <w:pPr>
        <w:pStyle w:val="Style15"/>
        <w:rPr/>
      </w:pPr>
      <w:r>
        <w:rPr/>
        <w:t>3б. Сотрудник решает выйти из системы.</w:t>
      </w:r>
    </w:p>
    <w:p>
      <w:pPr>
        <w:pStyle w:val="Style15"/>
        <w:rPr/>
      </w:pPr>
      <w:r>
        <w:rPr/>
        <w:t>4б. Система завершает вариант использования.</w:t>
      </w:r>
    </w:p>
    <w:p>
      <w:pPr>
        <w:pStyle w:val="Style15"/>
        <w:rPr/>
      </w:pPr>
      <w:r>
        <w:rPr>
          <w:rStyle w:val="Style9"/>
        </w:rPr>
        <w:t>Приоритет</w:t>
      </w:r>
      <w:r>
        <w:rPr/>
        <w:t>: Высокий</w:t>
      </w:r>
    </w:p>
    <w:p>
      <w:pPr>
        <w:pStyle w:val="Style15"/>
        <w:rPr/>
      </w:pPr>
      <w:r>
        <w:rPr>
          <w:rStyle w:val="Style9"/>
        </w:rPr>
        <w:t>Частота использования</w:t>
      </w:r>
      <w:r>
        <w:rPr/>
        <w:t>: Примерно пять раз в неделю каждым химиком, 200 раз в неделю каждым работником склада.</w:t>
      </w:r>
    </w:p>
    <w:p>
      <w:pPr>
        <w:pStyle w:val="Style15"/>
        <w:rPr/>
      </w:pPr>
      <w:r>
        <w:rPr>
          <w:rStyle w:val="Style9"/>
        </w:rPr>
        <w:t>Бизнес-правила</w:t>
      </w:r>
      <w:r>
        <w:rPr/>
        <w:t>: BR-28, BR-31</w:t>
      </w:r>
    </w:p>
    <w:p>
      <w:pPr>
        <w:pStyle w:val="Style15"/>
        <w:rPr/>
      </w:pPr>
      <w:r>
        <w:rPr>
          <w:rStyle w:val="Style9"/>
        </w:rPr>
        <w:t>Специальные требования</w:t>
      </w:r>
      <w:r>
        <w:rPr/>
        <w:t>: Система должна импортировать химические структуры в стандартной закодированной форме из любых средств, поддерживающих рисование химических структур.</w:t>
      </w:r>
    </w:p>
    <w:p>
      <w:pPr>
        <w:pStyle w:val="Style15"/>
        <w:rPr/>
      </w:pPr>
      <w:r>
        <w:rPr>
          <w:rStyle w:val="Style9"/>
        </w:rPr>
        <w:t>Предположения</w:t>
      </w:r>
      <w:r>
        <w:rPr/>
        <w:t>: Импортированные химические структуры должны быть верными.</w:t>
      </w:r>
    </w:p>
    <w:p>
      <w:pPr>
        <w:pStyle w:val="Style15"/>
        <w:rPr/>
      </w:pPr>
      <w:r>
        <w:rPr>
          <w:rStyle w:val="Style13"/>
        </w:rPr>
        <w:t>Критерии оценки</w:t>
      </w:r>
    </w:p>
    <w:p>
      <w:pPr>
        <w:pStyle w:val="Style15"/>
        <w:numPr>
          <w:ilvl w:val="0"/>
          <w:numId w:val="7"/>
        </w:numPr>
        <w:tabs>
          <w:tab w:val="clear" w:pos="709"/>
          <w:tab w:val="left" w:pos="0" w:leader="none"/>
        </w:tabs>
        <w:spacing w:before="0" w:after="0"/>
        <w:ind w:left="707" w:hanging="283"/>
        <w:rPr/>
      </w:pPr>
      <w:bookmarkStart w:id="1" w:name="yui_3_17_2_1_1643026591104_37"/>
      <w:bookmarkEnd w:id="1"/>
      <w:r>
        <w:rPr/>
        <w:t xml:space="preserve">Нарисована диаграмма вариантов использования для всех прямых пользователей - 3 балла </w:t>
      </w:r>
    </w:p>
    <w:p>
      <w:pPr>
        <w:pStyle w:val="Style15"/>
        <w:numPr>
          <w:ilvl w:val="0"/>
          <w:numId w:val="7"/>
        </w:numPr>
        <w:tabs>
          <w:tab w:val="clear" w:pos="709"/>
          <w:tab w:val="left" w:pos="0" w:leader="none"/>
        </w:tabs>
        <w:spacing w:before="0" w:after="0"/>
        <w:ind w:left="707" w:hanging="283"/>
        <w:rPr/>
      </w:pPr>
      <w:r>
        <w:rPr/>
        <w:t xml:space="preserve">Варианты использования соответствуют потребностям и целям пользователей - 2 балла </w:t>
      </w:r>
    </w:p>
    <w:p>
      <w:pPr>
        <w:pStyle w:val="Style15"/>
        <w:numPr>
          <w:ilvl w:val="0"/>
          <w:numId w:val="7"/>
        </w:numPr>
        <w:tabs>
          <w:tab w:val="clear" w:pos="709"/>
          <w:tab w:val="left" w:pos="0" w:leader="none"/>
        </w:tabs>
        <w:spacing w:before="0" w:after="0"/>
        <w:ind w:left="707" w:hanging="283"/>
        <w:rPr/>
      </w:pPr>
      <w:r>
        <w:rPr/>
        <w:t xml:space="preserve">Описан один из вариантов использования - 3 балла </w:t>
      </w:r>
    </w:p>
    <w:p>
      <w:pPr>
        <w:pStyle w:val="Style15"/>
        <w:numPr>
          <w:ilvl w:val="0"/>
          <w:numId w:val="7"/>
        </w:numPr>
        <w:tabs>
          <w:tab w:val="clear" w:pos="709"/>
          <w:tab w:val="left" w:pos="0" w:leader="none"/>
        </w:tabs>
        <w:ind w:left="707" w:hanging="283"/>
        <w:rPr/>
      </w:pPr>
      <w:r>
        <w:rPr/>
        <w:t xml:space="preserve">В описании нет противоречий - 2 балла </w:t>
      </w:r>
    </w:p>
    <w:p>
      <w:pPr>
        <w:pStyle w:val="Style15"/>
        <w:rPr>
          <w:rStyle w:val="Style9"/>
          <w:i w:val="false"/>
          <w:i w:val="false"/>
          <w:iCs w:val="false"/>
        </w:rPr>
      </w:pPr>
      <w:r>
        <w:rPr/>
      </w:r>
    </w:p>
    <w:p>
      <w:pPr>
        <w:sectPr>
          <w:type w:val="continuous"/>
          <w:pgSz w:w="11906" w:h="16838"/>
          <w:pgMar w:left="1134" w:right="1134" w:header="0" w:top="1134" w:footer="0" w:bottom="1134" w:gutter="0"/>
          <w:formProt w:val="false"/>
          <w:textDirection w:val="lrTb"/>
          <w:docGrid w:type="default" w:linePitch="100" w:charSpace="0"/>
        </w:sectPr>
      </w:pPr>
    </w:p>
    <w:p>
      <w:pPr>
        <w:pStyle w:val="Style15"/>
        <w:rPr>
          <w:rStyle w:val="Style9"/>
        </w:rPr>
      </w:pPr>
      <w:r>
        <w:rPr/>
      </w:r>
    </w:p>
    <w:p>
      <w:pPr>
        <w:pStyle w:val="Style15"/>
        <w:rPr/>
      </w:pPr>
      <w:r>
        <w:rPr/>
        <w:t>Максимальный балл — 10</w:t>
      </w:r>
    </w:p>
    <w:p>
      <w:pPr>
        <w:pStyle w:val="Style15"/>
        <w:bidi w:val="0"/>
        <w:spacing w:before="200" w:after="120"/>
        <w:jc w:val="left"/>
        <w:rPr/>
      </w:pPr>
      <w:r>
        <w:rPr/>
      </w:r>
    </w:p>
    <w:sectPr>
      <w:type w:val="continuous"/>
      <w:pgSz w:w="11906" w:h="16838"/>
      <w:pgMar w:left="1134" w:right="1134" w:header="0" w:top="1134" w:footer="0" w:bottom="1134" w:gutter="0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erif">
    <w:altName w:val="Times New Roman"/>
    <w:charset w:val="cc"/>
    <w:family w:val="swiss"/>
    <w:pitch w:val="variable"/>
  </w:font>
  <w:font w:name="OpenSymbol">
    <w:altName w:val="Arial Unicode MS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pStyle w:val="6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  <w:rPr/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/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/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/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/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/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/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/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  <w:rPr/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/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/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/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/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/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/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/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  <w:rPr/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/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/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/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/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/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/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/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/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1">
    <w:name w:val="Heading 1"/>
    <w:basedOn w:val="Style14"/>
    <w:next w:val="Style15"/>
    <w:qFormat/>
    <w:pPr>
      <w:numPr>
        <w:ilvl w:val="0"/>
        <w:numId w:val="1"/>
      </w:numPr>
      <w:spacing w:before="240" w:after="120"/>
      <w:outlineLvl w:val="0"/>
    </w:pPr>
    <w:rPr>
      <w:rFonts w:ascii="Liberation Serif" w:hAnsi="Liberation Serif" w:eastAsia="NSimSun" w:cs="Lucida Sans"/>
      <w:b/>
      <w:bCs/>
      <w:sz w:val="48"/>
      <w:szCs w:val="48"/>
    </w:rPr>
  </w:style>
  <w:style w:type="paragraph" w:styleId="2">
    <w:name w:val="Heading 2"/>
    <w:basedOn w:val="Style14"/>
    <w:next w:val="Style15"/>
    <w:qFormat/>
    <w:pPr>
      <w:spacing w:before="200" w:after="120"/>
      <w:outlineLvl w:val="1"/>
    </w:pPr>
    <w:rPr>
      <w:rFonts w:ascii="Liberation Serif" w:hAnsi="Liberation Serif" w:eastAsia="NSimSun" w:cs="Lucida Sans"/>
      <w:b/>
      <w:bCs/>
      <w:sz w:val="36"/>
      <w:szCs w:val="36"/>
    </w:rPr>
  </w:style>
  <w:style w:type="paragraph" w:styleId="4">
    <w:name w:val="Heading 4"/>
    <w:basedOn w:val="Style14"/>
    <w:next w:val="Style15"/>
    <w:qFormat/>
    <w:pPr>
      <w:numPr>
        <w:ilvl w:val="3"/>
        <w:numId w:val="1"/>
      </w:numPr>
      <w:spacing w:before="120" w:after="120"/>
      <w:outlineLvl w:val="3"/>
    </w:pPr>
    <w:rPr>
      <w:rFonts w:ascii="Liberation Serif" w:hAnsi="Liberation Serif" w:eastAsia="NSimSun" w:cs="Lucida Sans"/>
      <w:b/>
      <w:bCs/>
      <w:sz w:val="24"/>
      <w:szCs w:val="24"/>
    </w:rPr>
  </w:style>
  <w:style w:type="paragraph" w:styleId="5">
    <w:name w:val="Heading 5"/>
    <w:basedOn w:val="Style14"/>
    <w:next w:val="Style15"/>
    <w:qFormat/>
    <w:pPr>
      <w:spacing w:before="120" w:after="60"/>
      <w:outlineLvl w:val="4"/>
    </w:pPr>
    <w:rPr>
      <w:rFonts w:ascii="Liberation Serif" w:hAnsi="Liberation Serif" w:eastAsia="NSimSun" w:cs="Lucida Sans"/>
      <w:b/>
      <w:bCs/>
      <w:sz w:val="20"/>
      <w:szCs w:val="20"/>
    </w:rPr>
  </w:style>
  <w:style w:type="paragraph" w:styleId="6">
    <w:name w:val="Heading 6"/>
    <w:basedOn w:val="Style14"/>
    <w:next w:val="Style15"/>
    <w:qFormat/>
    <w:pPr>
      <w:numPr>
        <w:ilvl w:val="5"/>
        <w:numId w:val="1"/>
      </w:numPr>
      <w:spacing w:before="60" w:after="60"/>
      <w:outlineLvl w:val="5"/>
    </w:pPr>
    <w:rPr>
      <w:rFonts w:ascii="Liberation Serif" w:hAnsi="Liberation Serif" w:eastAsia="NSimSun" w:cs="Lucida Sans"/>
      <w:b/>
      <w:bCs/>
      <w:sz w:val="14"/>
      <w:szCs w:val="14"/>
    </w:rPr>
  </w:style>
  <w:style w:type="character" w:styleId="Style9">
    <w:name w:val="Выделение"/>
    <w:qFormat/>
    <w:rPr>
      <w:i/>
      <w:iCs/>
    </w:rPr>
  </w:style>
  <w:style w:type="character" w:styleId="Style10">
    <w:name w:val="Маркеры"/>
    <w:qFormat/>
    <w:rPr>
      <w:rFonts w:ascii="OpenSymbol" w:hAnsi="OpenSymbol" w:eastAsia="OpenSymbol" w:cs="OpenSymbol"/>
    </w:rPr>
  </w:style>
  <w:style w:type="character" w:styleId="Style11">
    <w:name w:val="Интернет-ссылка"/>
    <w:rPr>
      <w:color w:val="000080"/>
      <w:u w:val="single"/>
      <w:lang w:val="zxx" w:eastAsia="zxx" w:bidi="zxx"/>
    </w:rPr>
  </w:style>
  <w:style w:type="character" w:styleId="Style12">
    <w:name w:val="Символ нумерации"/>
    <w:qFormat/>
    <w:rPr/>
  </w:style>
  <w:style w:type="character" w:styleId="Style13">
    <w:name w:val="Выделение жирным"/>
    <w:qFormat/>
    <w:rPr>
      <w:b/>
      <w:bCs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Lucida 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ucida Sans"/>
    </w:rPr>
  </w:style>
  <w:style w:type="paragraph" w:styleId="Style19">
    <w:name w:val="Содержимое таблицы"/>
    <w:basedOn w:val="Normal"/>
    <w:qFormat/>
    <w:pPr>
      <w:widowControl w:val="false"/>
      <w:suppressLineNumbers/>
    </w:pPr>
    <w:rPr/>
  </w:style>
  <w:style w:type="paragraph" w:styleId="Style20">
    <w:name w:val="Заголовок таблицы"/>
    <w:basedOn w:val="Style19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22</TotalTime>
  <Application>LibreOffice/7.1.2.2$Windows_X86_64 LibreOffice_project/8a45595d069ef5570103caea1b71cc9d82b2aae4</Application>
  <AppVersion>15.0000</AppVersion>
  <Pages>3</Pages>
  <Words>525</Words>
  <Characters>3688</Characters>
  <CharactersWithSpaces>4158</CharactersWithSpaces>
  <Paragraphs>64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2022-01-11T12:35:27Z</dcterms:created>
  <dc:creator/>
  <dc:description/>
  <dc:language>ru-RU</dc:language>
  <cp:lastModifiedBy/>
  <dcterms:modified xsi:type="dcterms:W3CDTF">2022-01-24T17:29:52Z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